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/>
      </w:pPr>
      <w:r>
        <w:rPr>
          <w:b/>
          <w:bCs/>
          <w:sz w:val="32"/>
          <w:szCs w:val="32"/>
        </w:rPr>
        <w:t xml:space="preserve">Work instruction — air compressor preventive maintenance</w:t>
      </w:r>
    </w:p>
    <w:tbl>
      <w:tblPr>
        <w:tblW w:type="dxa" w:w="1008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1900"/>
        <w:gridCol w:w="3140"/>
        <w:gridCol w:w="1900"/>
        <w:gridCol w:w="3140"/>
      </w:tblGrid>
      <w:tr>
        <w:tc>
          <w:tcPr>
            <w:tcW w:type="dxa" w:w="19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Document no.</w:t>
            </w:r>
          </w:p>
        </w:tc>
        <w:tc>
          <w:tcPr>
            <w:tcW w:type="dxa" w:w="31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>WI-MNT-014</w:t>
            </w:r>
          </w:p>
        </w:tc>
        <w:tc>
          <w:tcPr>
            <w:tcW w:type="dxa" w:w="19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Revision</w:t>
            </w:r>
          </w:p>
        </w:tc>
        <w:tc>
          <w:tcPr>
            <w:tcW w:type="dxa" w:w="31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>1.0</w:t>
            </w:r>
          </w:p>
        </w:tc>
      </w:tr>
      <w:tr>
        <w:tc>
          <w:tcPr>
            <w:tcW w:type="dxa" w:w="19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Title</w:t>
            </w:r>
          </w:p>
        </w:tc>
        <w:tc>
          <w:tcPr>
            <w:tcW w:type="dxa" w:w="31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>Air compressor — routine preventive maintenance</w:t>
            </w:r>
          </w:p>
        </w:tc>
        <w:tc>
          <w:tcPr>
            <w:tcW w:type="dxa" w:w="19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31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>22 / 09 / 2026</w:t>
            </w:r>
          </w:p>
        </w:tc>
      </w:tr>
      <w:tr>
        <w:tc>
          <w:tcPr>
            <w:tcW w:type="dxa" w:w="19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Equipment / area</w:t>
            </w:r>
          </w:p>
        </w:tc>
        <w:tc>
          <w:tcPr>
            <w:tcW w:type="dxa" w:w="31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>Reciprocating air compressor, 7.5 kW, 270 L receiver</w:t>
            </w:r>
          </w:p>
        </w:tc>
        <w:tc>
          <w:tcPr>
            <w:tcW w:type="dxa" w:w="19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W w:type="dxa" w:w="31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>Maintenance</w:t>
            </w:r>
          </w:p>
        </w:tc>
      </w:tr>
      <w:tr>
        <w:tc>
          <w:tcPr>
            <w:tcW w:type="dxa" w:w="19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Frequency</w:t>
            </w:r>
          </w:p>
        </w:tc>
        <w:tc>
          <w:tcPr>
            <w:tcW w:type="dxa" w:w="31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>Every 500 operating hours or 6 months</w:t>
            </w:r>
          </w:p>
        </w:tc>
        <w:tc>
          <w:tcPr>
            <w:tcW w:type="dxa" w:w="19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Page</w:t>
            </w:r>
          </w:p>
        </w:tc>
        <w:tc>
          <w:tcPr>
            <w:tcW w:type="dxa" w:w="31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>1 of 1</w:t>
            </w:r>
          </w:p>
        </w:tc>
      </w:tr>
    </w:tbl>
    <w:p>
      <w:pPr>
        <w:pStyle w:val="Heading2"/>
        <w:spacing w:after="120" w:before="280"/>
      </w:pPr>
      <w:r>
        <w:rPr>
          <w:b/>
          <w:bCs/>
          <w:sz w:val="24"/>
          <w:szCs w:val="24"/>
        </w:rPr>
        <w:t xml:space="preserve">PPE and safety</w:t>
      </w:r>
    </w:p>
    <w:p>
      <w:pPr>
        <w:spacing w:after="80" w:before="0"/>
      </w:pPr>
      <w:r>
        <w:rPr>
          <w:sz w:val="20"/>
          <w:szCs w:val="20"/>
        </w:rPr>
        <w:t xml:space="preserve">Safety glasses, gloves and hearing protection. Compressed air and stored energy are present: isolate the machine and verify zero pressure before any work, following the site lockout/tagout procedure.</w:t>
      </w:r>
    </w:p>
    <w:p>
      <w:pPr>
        <w:pStyle w:val="Heading2"/>
        <w:spacing w:after="120" w:before="280"/>
      </w:pPr>
      <w:r>
        <w:rPr>
          <w:b/>
          <w:bCs/>
          <w:sz w:val="24"/>
          <w:szCs w:val="24"/>
        </w:rPr>
        <w:t xml:space="preserve">Tools and materials</w:t>
      </w:r>
    </w:p>
    <w:p>
      <w:pPr>
        <w:spacing w:after="80" w:before="0"/>
      </w:pPr>
      <w:r>
        <w:rPr>
          <w:sz w:val="20"/>
          <w:szCs w:val="20"/>
        </w:rPr>
        <w:t xml:space="preserve">Padlock and tag · drain pan · compressor oil to the nameplate grade · replacement intake filter element · 13 mm spanner · clean lint-free cloth.</w:t>
      </w:r>
    </w:p>
    <w:p>
      <w:pPr>
        <w:pStyle w:val="Heading2"/>
        <w:spacing w:after="120" w:before="280"/>
      </w:pPr>
      <w:r>
        <w:rPr>
          <w:b/>
          <w:bCs/>
          <w:sz w:val="24"/>
          <w:szCs w:val="24"/>
        </w:rPr>
        <w:t xml:space="preserve">Service points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3552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595959"/>
          <w:sz w:val="17"/>
          <w:szCs w:val="17"/>
        </w:rPr>
        <w:t xml:space="preserve">Routine service points referenced by the steps below</w:t>
      </w:r>
    </w:p>
    <w:p>
      <w:r>
        <w:br w:type="page"/>
      </w:r>
    </w:p>
    <w:p>
      <w:pPr>
        <w:pStyle w:val="Heading2"/>
        <w:spacing w:after="120" w:before="280"/>
      </w:pPr>
      <w:r>
        <w:rPr>
          <w:b/>
          <w:bCs/>
          <w:sz w:val="24"/>
          <w:szCs w:val="24"/>
        </w:rPr>
        <w:t xml:space="preserve">Procedure</w:t>
      </w:r>
    </w:p>
    <w:tbl>
      <w:tblPr>
        <w:tblW w:type="dxa" w:w="1008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900"/>
        <w:gridCol w:w="5100"/>
        <w:gridCol w:w="4080"/>
      </w:tblGrid>
      <w:tr>
        <w:trPr>
          <w:cantSplit/>
        </w:trPr>
        <w:tc>
          <w:tcPr>
            <w:tcW w:type="dxa" w:w="9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Step</w:t>
            </w:r>
          </w:p>
        </w:tc>
        <w:tc>
          <w:tcPr>
            <w:tcW w:type="dxa" w:w="51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Operation</w:t>
            </w:r>
          </w:p>
        </w:tc>
        <w:tc>
          <w:tcPr>
            <w:tcW w:type="dxa" w:w="408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Key points / acceptance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>Switch the compressor off at the wall isolator and fit a padlock and tag. Close the outlet ball valve. Confirm the receiver gauge reads 0 bar before going further.</w:t>
            </w:r>
          </w:p>
        </w:tc>
        <w:tc>
          <w:tcPr>
            <w:tcW w:type="dxa" w:w="4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Key point: </w:t>
            </w:r>
            <w:r>
              <w:rPr>
                <w:sz w:val="20"/>
                <w:szCs w:val="20"/>
              </w:rPr>
              <w:t xml:space="preserve">Do not rely on the pressure switch alone to isolate the machine.</w:t>
            </w:r>
          </w:p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Accept: </w:t>
            </w:r>
            <w:r>
              <w:rPr>
                <w:sz w:val="20"/>
                <w:szCs w:val="20"/>
              </w:rPr>
              <w:t xml:space="preserve">Isolator locked and tagged; gauge reads 0 bar.</w:t>
            </w:r>
          </w:p>
        </w:tc>
      </w:tr>
      <w:tr>
        <w:trPr>
          <w:cantSplit/>
        </w:trPr>
        <w:tc>
          <w:tcPr>
            <w:tcW w:type="dxa" w:w="10080"/>
            <w:gridSpan w:val="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80"/>
              <w:jc w:val="center"/>
            </w:pPr>
            <w:r>
              <w:drawing>
                <wp:inline distT="0" distB="0" distL="0" distR="0">
                  <wp:extent cx="5334000" cy="3552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552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/>
              <w:jc w:val="center"/>
            </w:pPr>
            <w:r>
              <w:rPr>
                <w:i/>
                <w:iCs/>
                <w:color w:val="595959"/>
                <w:sz w:val="17"/>
                <w:szCs w:val="17"/>
              </w:rPr>
              <w:t xml:space="preserve">Figure 1 — Isolator locked off, outlet valve closed, gauge at zero</w:t>
            </w:r>
          </w:p>
        </w:tc>
      </w:tr>
    </w:tbl>
    <w:p>
      <w:pPr>
        <w:spacing w:after="200" w:before="0"/>
      </w:pPr>
      <w:r>
        <w:rPr>
          <w:sz w:val="20"/>
          <w:szCs w:val="20"/>
        </w:rPr>
        <w:t xml:space="preserve"/>
      </w:r>
    </w:p>
    <w:p>
      <w:r>
        <w:br w:type="page"/>
      </w:r>
    </w:p>
    <w:tbl>
      <w:tblPr>
        <w:tblW w:type="dxa" w:w="1008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900"/>
        <w:gridCol w:w="5100"/>
        <w:gridCol w:w="4080"/>
      </w:tblGrid>
      <w:tr>
        <w:trPr>
          <w:cantSplit/>
        </w:trPr>
        <w:tc>
          <w:tcPr>
            <w:tcW w:type="dxa" w:w="9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Step</w:t>
            </w:r>
          </w:p>
        </w:tc>
        <w:tc>
          <w:tcPr>
            <w:tcW w:type="dxa" w:w="51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Operation</w:t>
            </w:r>
          </w:p>
        </w:tc>
        <w:tc>
          <w:tcPr>
            <w:tcW w:type="dxa" w:w="408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Key points / acceptance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>Place the drain pan under the receiver. Open the drain valve fully and let the condensate discharge until only air escapes, then close the valve.</w:t>
            </w:r>
          </w:p>
        </w:tc>
        <w:tc>
          <w:tcPr>
            <w:tcW w:type="dxa" w:w="4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Key point: </w:t>
            </w:r>
            <w:r>
              <w:rPr>
                <w:sz w:val="20"/>
                <w:szCs w:val="20"/>
              </w:rPr>
              <w:t xml:space="preserve">Drain only with the tank at zero pressure.</w:t>
            </w:r>
          </w:p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Accept: </w:t>
            </w:r>
            <w:r>
              <w:rPr>
                <w:sz w:val="20"/>
                <w:szCs w:val="20"/>
              </w:rPr>
              <w:t xml:space="preserve">No liquid remains; drain valve closed.</w:t>
            </w:r>
          </w:p>
        </w:tc>
      </w:tr>
      <w:tr>
        <w:trPr>
          <w:cantSplit/>
        </w:trPr>
        <w:tc>
          <w:tcPr>
            <w:tcW w:type="dxa" w:w="10080"/>
            <w:gridSpan w:val="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80"/>
              <w:jc w:val="center"/>
            </w:pPr>
            <w:r>
              <w:drawing>
                <wp:inline distT="0" distB="0" distL="0" distR="0">
                  <wp:extent cx="5334000" cy="3552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552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/>
              <w:jc w:val="center"/>
            </w:pPr>
            <w:r>
              <w:rPr>
                <w:i/>
                <w:iCs/>
                <w:color w:val="595959"/>
                <w:sz w:val="17"/>
                <w:szCs w:val="17"/>
              </w:rPr>
              <w:t xml:space="preserve">Figure 2 — Condensate drained from the bottom of the receiver</w:t>
            </w:r>
          </w:p>
        </w:tc>
      </w:tr>
    </w:tbl>
    <w:p>
      <w:pPr>
        <w:spacing w:after="200" w:before="0"/>
      </w:pPr>
      <w:r>
        <w:rPr>
          <w:sz w:val="20"/>
          <w:szCs w:val="20"/>
        </w:rPr>
        <w:t xml:space="preserve"/>
      </w:r>
    </w:p>
    <w:p>
      <w:r>
        <w:br w:type="page"/>
      </w:r>
    </w:p>
    <w:tbl>
      <w:tblPr>
        <w:tblW w:type="dxa" w:w="1008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900"/>
        <w:gridCol w:w="5100"/>
        <w:gridCol w:w="4080"/>
      </w:tblGrid>
      <w:tr>
        <w:trPr>
          <w:cantSplit/>
        </w:trPr>
        <w:tc>
          <w:tcPr>
            <w:tcW w:type="dxa" w:w="9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Step</w:t>
            </w:r>
          </w:p>
        </w:tc>
        <w:tc>
          <w:tcPr>
            <w:tcW w:type="dxa" w:w="51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Operation</w:t>
            </w:r>
          </w:p>
        </w:tc>
        <w:tc>
          <w:tcPr>
            <w:tcW w:type="dxa" w:w="408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Key points / acceptance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5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>Read the crankcase sight glass. The level must sit between MIN and MAX. If low, top up through the fill port with the grade given on the machine nameplate.</w:t>
            </w:r>
          </w:p>
        </w:tc>
        <w:tc>
          <w:tcPr>
            <w:tcW w:type="dxa" w:w="4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Key point: </w:t>
            </w:r>
            <w:r>
              <w:rPr>
                <w:sz w:val="20"/>
                <w:szCs w:val="20"/>
              </w:rPr>
              <w:t xml:space="preserve">Do not overfill above MAX; excess oil carries over into the air line.</w:t>
            </w:r>
          </w:p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Accept: </w:t>
            </w:r>
            <w:r>
              <w:rPr>
                <w:sz w:val="20"/>
                <w:szCs w:val="20"/>
              </w:rPr>
              <w:t xml:space="preserve">Level between MIN and MAX; fill cap refitted.</w:t>
            </w:r>
          </w:p>
        </w:tc>
      </w:tr>
      <w:tr>
        <w:trPr>
          <w:cantSplit/>
        </w:trPr>
        <w:tc>
          <w:tcPr>
            <w:tcW w:type="dxa" w:w="10080"/>
            <w:gridSpan w:val="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80"/>
              <w:jc w:val="center"/>
            </w:pPr>
            <w:r>
              <w:drawing>
                <wp:inline distT="0" distB="0" distL="0" distR="0">
                  <wp:extent cx="5334000" cy="3552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552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/>
              <w:jc w:val="center"/>
            </w:pPr>
            <w:r>
              <w:rPr>
                <w:i/>
                <w:iCs/>
                <w:color w:val="595959"/>
                <w:sz w:val="17"/>
                <w:szCs w:val="17"/>
              </w:rPr>
              <w:t xml:space="preserve">Figure 3 — Oil level read against the MIN and MAX marks</w:t>
            </w:r>
          </w:p>
        </w:tc>
      </w:tr>
    </w:tbl>
    <w:p>
      <w:pPr>
        <w:spacing w:after="200" w:before="0"/>
      </w:pPr>
      <w:r>
        <w:rPr>
          <w:sz w:val="20"/>
          <w:szCs w:val="20"/>
        </w:rPr>
        <w:t xml:space="preserve"/>
      </w:r>
    </w:p>
    <w:p>
      <w:r>
        <w:br w:type="page"/>
      </w:r>
    </w:p>
    <w:tbl>
      <w:tblPr>
        <w:tblW w:type="dxa" w:w="1008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900"/>
        <w:gridCol w:w="5100"/>
        <w:gridCol w:w="4080"/>
      </w:tblGrid>
      <w:tr>
        <w:trPr>
          <w:cantSplit/>
        </w:trPr>
        <w:tc>
          <w:tcPr>
            <w:tcW w:type="dxa" w:w="9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Step</w:t>
            </w:r>
          </w:p>
        </w:tc>
        <w:tc>
          <w:tcPr>
            <w:tcW w:type="dxa" w:w="51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Operation</w:t>
            </w:r>
          </w:p>
        </w:tc>
        <w:tc>
          <w:tcPr>
            <w:tcW w:type="dxa" w:w="408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Key points / acceptance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5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>Unscrew the wing nut, lift the cover and withdraw the element. Replace it if it is discoloured or clogged. Refit the cover and tighten the wing nut by hand.</w:t>
            </w:r>
          </w:p>
        </w:tc>
        <w:tc>
          <w:tcPr>
            <w:tcW w:type="dxa" w:w="4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Key point: </w:t>
            </w:r>
            <w:r>
              <w:rPr>
                <w:sz w:val="20"/>
                <w:szCs w:val="20"/>
              </w:rPr>
              <w:t xml:space="preserve">A clogged element raises running temperature and oil carryover.</w:t>
            </w:r>
          </w:p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Accept: </w:t>
            </w:r>
            <w:r>
              <w:rPr>
                <w:sz w:val="20"/>
                <w:szCs w:val="20"/>
              </w:rPr>
              <w:t xml:space="preserve">Clean element fitted; cover secure.</w:t>
            </w:r>
          </w:p>
        </w:tc>
      </w:tr>
      <w:tr>
        <w:trPr>
          <w:cantSplit/>
        </w:trPr>
        <w:tc>
          <w:tcPr>
            <w:tcW w:type="dxa" w:w="10080"/>
            <w:gridSpan w:val="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80"/>
              <w:jc w:val="center"/>
            </w:pPr>
            <w:r>
              <w:drawing>
                <wp:inline distT="0" distB="0" distL="0" distR="0">
                  <wp:extent cx="5334000" cy="3552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552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/>
              <w:jc w:val="center"/>
            </w:pPr>
            <w:r>
              <w:rPr>
                <w:i/>
                <w:iCs/>
                <w:color w:val="595959"/>
                <w:sz w:val="17"/>
                <w:szCs w:val="17"/>
              </w:rPr>
              <w:t xml:space="preserve">Figure 4 — Intake filter element withdrawn, clean against clogged</w:t>
            </w:r>
          </w:p>
        </w:tc>
      </w:tr>
    </w:tbl>
    <w:p>
      <w:pPr>
        <w:spacing w:after="200" w:before="0"/>
      </w:pPr>
      <w:r>
        <w:rPr>
          <w:sz w:val="20"/>
          <w:szCs w:val="20"/>
        </w:rPr>
        <w:t xml:space="preserve"/>
      </w:r>
    </w:p>
    <w:p>
      <w:r>
        <w:br w:type="page"/>
      </w:r>
    </w:p>
    <w:tbl>
      <w:tblPr>
        <w:tblW w:type="dxa" w:w="1008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900"/>
        <w:gridCol w:w="5100"/>
        <w:gridCol w:w="4080"/>
      </w:tblGrid>
      <w:tr>
        <w:trPr>
          <w:cantSplit/>
        </w:trPr>
        <w:tc>
          <w:tcPr>
            <w:tcW w:type="dxa" w:w="9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Step</w:t>
            </w:r>
          </w:p>
        </w:tc>
        <w:tc>
          <w:tcPr>
            <w:tcW w:type="dxa" w:w="51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Operation</w:t>
            </w:r>
          </w:p>
        </w:tc>
        <w:tc>
          <w:tcPr>
            <w:tcW w:type="dxa" w:w="408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Key points / acceptance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5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>Remove the belt guard. Press the belt at mid-span with moderate thumb pressure; deflection should be about 13 mm. Adjust the motor slide rails if it is outside tolerance, then refit the guard.</w:t>
            </w:r>
          </w:p>
        </w:tc>
        <w:tc>
          <w:tcPr>
            <w:tcW w:type="dxa" w:w="4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Key point: </w:t>
            </w:r>
            <w:r>
              <w:rPr>
                <w:sz w:val="20"/>
                <w:szCs w:val="20"/>
              </w:rPr>
              <w:t xml:space="preserve">Never run the compressor with the belt guard removed.</w:t>
            </w:r>
          </w:p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Accept: </w:t>
            </w:r>
            <w:r>
              <w:rPr>
                <w:sz w:val="20"/>
                <w:szCs w:val="20"/>
              </w:rPr>
              <w:t xml:space="preserve">Deflection approximately 13 mm; guard refitted.</w:t>
            </w:r>
          </w:p>
        </w:tc>
      </w:tr>
      <w:tr>
        <w:trPr>
          <w:cantSplit/>
        </w:trPr>
        <w:tc>
          <w:tcPr>
            <w:tcW w:type="dxa" w:w="10080"/>
            <w:gridSpan w:val="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80"/>
              <w:jc w:val="center"/>
            </w:pPr>
            <w:r>
              <w:drawing>
                <wp:inline distT="0" distB="0" distL="0" distR="0">
                  <wp:extent cx="5334000" cy="3552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552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/>
              <w:jc w:val="center"/>
            </w:pPr>
            <w:r>
              <w:rPr>
                <w:i/>
                <w:iCs/>
                <w:color w:val="595959"/>
                <w:sz w:val="17"/>
                <w:szCs w:val="17"/>
              </w:rPr>
              <w:t xml:space="preserve">Figure 5 — Belt deflection checked at mid-span</w:t>
            </w:r>
          </w:p>
        </w:tc>
      </w:tr>
    </w:tbl>
    <w:p>
      <w:pPr>
        <w:spacing w:after="200" w:before="0"/>
      </w:pPr>
      <w:r>
        <w:rPr>
          <w:sz w:val="20"/>
          <w:szCs w:val="20"/>
        </w:rPr>
        <w:t xml:space="preserve"/>
      </w:r>
    </w:p>
    <w:p>
      <w:r>
        <w:br w:type="page"/>
      </w:r>
    </w:p>
    <w:tbl>
      <w:tblPr>
        <w:tblW w:type="dxa" w:w="1008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900"/>
        <w:gridCol w:w="5100"/>
        <w:gridCol w:w="4080"/>
      </w:tblGrid>
      <w:tr>
        <w:trPr>
          <w:cantSplit/>
        </w:trPr>
        <w:tc>
          <w:tcPr>
            <w:tcW w:type="dxa" w:w="9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Step</w:t>
            </w:r>
          </w:p>
        </w:tc>
        <w:tc>
          <w:tcPr>
            <w:tcW w:type="dxa" w:w="51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Operation</w:t>
            </w:r>
          </w:p>
        </w:tc>
        <w:tc>
          <w:tcPr>
            <w:tcW w:type="dxa" w:w="408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Key points / acceptance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5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>With the receiver repressurised, pull the relief valve test ring, allow a brief discharge, then release it. The valve must reseat cleanly.</w:t>
            </w:r>
          </w:p>
        </w:tc>
        <w:tc>
          <w:tcPr>
            <w:tcW w:type="dxa" w:w="4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Key point: </w:t>
            </w:r>
            <w:r>
              <w:rPr>
                <w:sz w:val="20"/>
                <w:szCs w:val="20"/>
              </w:rPr>
              <w:t xml:space="preserve">Stand clear of the discharge path and wear hearing protection.</w:t>
            </w:r>
          </w:p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Accept: </w:t>
            </w:r>
            <w:r>
              <w:rPr>
                <w:sz w:val="20"/>
                <w:szCs w:val="20"/>
              </w:rPr>
              <w:t xml:space="preserve">Valve lifts and reseats with no audible leak.</w:t>
            </w:r>
          </w:p>
        </w:tc>
      </w:tr>
      <w:tr>
        <w:trPr>
          <w:cantSplit/>
        </w:trPr>
        <w:tc>
          <w:tcPr>
            <w:tcW w:type="dxa" w:w="10080"/>
            <w:gridSpan w:val="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80"/>
              <w:jc w:val="center"/>
            </w:pPr>
            <w:r>
              <w:drawing>
                <wp:inline distT="0" distB="0" distL="0" distR="0">
                  <wp:extent cx="5334000" cy="3552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552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/>
              <w:jc w:val="center"/>
            </w:pPr>
            <w:r>
              <w:rPr>
                <w:i/>
                <w:iCs/>
                <w:color w:val="595959"/>
                <w:sz w:val="17"/>
                <w:szCs w:val="17"/>
              </w:rPr>
              <w:t xml:space="preserve">Figure 6 — Relief valve test ring pulled, then released to reseat</w:t>
            </w:r>
          </w:p>
        </w:tc>
      </w:tr>
    </w:tbl>
    <w:p>
      <w:pPr>
        <w:spacing w:after="200" w:before="0"/>
      </w:pPr>
      <w:r>
        <w:rPr>
          <w:sz w:val="20"/>
          <w:szCs w:val="20"/>
        </w:rPr>
        <w:t xml:space="preserve"/>
      </w:r>
    </w:p>
    <w:p>
      <w:pPr>
        <w:pStyle w:val="Heading2"/>
        <w:spacing w:after="120" w:before="280"/>
      </w:pPr>
      <w:r>
        <w:rPr>
          <w:b/>
          <w:bCs/>
          <w:sz w:val="24"/>
          <w:szCs w:val="24"/>
        </w:rPr>
        <w:t xml:space="preserve">Quality check — belt seating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3552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595959"/>
          <w:sz w:val="17"/>
          <w:szCs w:val="17"/>
        </w:rPr>
        <w:t xml:space="preserve">A correctly seated belt against one riding high in the groove</w:t>
      </w:r>
    </w:p>
    <w:p>
      <w:r>
        <w:br w:type="page"/>
      </w:r>
    </w:p>
    <w:p>
      <w:pPr>
        <w:pStyle w:val="Heading2"/>
        <w:spacing w:after="120" w:before="280"/>
      </w:pPr>
      <w:r>
        <w:rPr>
          <w:b/>
          <w:bCs/>
          <w:sz w:val="24"/>
          <w:szCs w:val="24"/>
        </w:rPr>
        <w:t xml:space="preserve">Sign-off</w:t>
      </w:r>
    </w:p>
    <w:tbl>
      <w:tblPr>
        <w:tblW w:type="dxa" w:w="1008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Prepared by</w:t>
            </w:r>
          </w:p>
        </w:tc>
        <w:tc>
          <w:tcPr>
            <w:tcW w:type="dxa" w:w="252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Reviewed by</w:t>
            </w:r>
          </w:p>
        </w:tc>
        <w:tc>
          <w:tcPr>
            <w:tcW w:type="dxa" w:w="252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Approved by</w:t>
            </w:r>
          </w:p>
        </w:tc>
        <w:tc>
          <w:tcPr>
            <w:tcW w:type="dxa" w:w="252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</w:tr>
      <w:t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rPr>
          <w:b/>
          <w:bCs/>
          <w:sz w:val="24"/>
          <w:szCs w:val="24"/>
        </w:rPr>
        <w:t xml:space="preserve">Revision history</w:t>
      </w:r>
    </w:p>
    <w:tbl>
      <w:tblPr>
        <w:tblW w:type="dxa" w:w="1008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1500"/>
        <w:gridCol w:w="1900"/>
        <w:gridCol w:w="4180"/>
        <w:gridCol w:w="2500"/>
      </w:tblGrid>
      <w:tr>
        <w:trPr>
          <w:tblHeader/>
        </w:trPr>
        <w:tc>
          <w:tcPr>
            <w:tcW w:type="dxa" w:w="15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Revision</w:t>
            </w:r>
          </w:p>
        </w:tc>
        <w:tc>
          <w:tcPr>
            <w:tcW w:type="dxa" w:w="19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418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Change</w:t>
            </w:r>
          </w:p>
        </w:tc>
        <w:tc>
          <w:tcPr>
            <w:tcW w:type="dxa" w:w="25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Author</w:t>
            </w:r>
          </w:p>
        </w:tc>
      </w:tr>
      <w:tr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>1.0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>22 / 09 / 2026</w:t>
            </w:r>
          </w:p>
        </w:tc>
        <w:tc>
          <w:tcPr>
            <w:tcW w:type="dxa" w:w="4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>First issue</w:t>
            </w:r>
          </w:p>
        </w:tc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320"/>
      </w:pPr>
      <w:r>
        <w:rPr>
          <w:i/>
          <w:iCs/>
          <w:color w:val="595959"/>
          <w:sz w:val="17"/>
          <w:szCs w:val="17"/>
        </w:rPr>
        <w:t xml:space="preserve">This document is a layout example produced to show how an illustrated work instruction is put together. It is not a validated maintenance procedure: check every value against your own equipment manual before use.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Template and step figures by ManualFig — manualfig.ai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bb4e259aac3d13b688ea8ee35236445f1145915a.png"/><Relationship Id="rId9" Type="http://schemas.openxmlformats.org/officeDocument/2006/relationships/image" Target="media/87a68a7ba1a96bea7b665430943198ed67006e5a.png"/><Relationship Id="rId10" Type="http://schemas.openxmlformats.org/officeDocument/2006/relationships/image" Target="media/8e62d7c3c68f418b5cb59c6c8f589c58eacacae7.png"/><Relationship Id="rId11" Type="http://schemas.openxmlformats.org/officeDocument/2006/relationships/image" Target="media/ea9c6f3d87cc94883ea3fda6bff0388c9d69e103.png"/><Relationship Id="rId12" Type="http://schemas.openxmlformats.org/officeDocument/2006/relationships/image" Target="media/362d784e78038bb984c5175ac9478a2015387bfd.png"/><Relationship Id="rId13" Type="http://schemas.openxmlformats.org/officeDocument/2006/relationships/image" Target="media/59535e5f00fdbe155982dfb25f2fae887ec891f9.png"/><Relationship Id="rId14" Type="http://schemas.openxmlformats.org/officeDocument/2006/relationships/image" Target="media/ae1e9f3ac2795f06b06e996615b55816e5e3d0b2.png"/><Relationship Id="rId15" Type="http://schemas.openxmlformats.org/officeDocument/2006/relationships/image" Target="media/5abf66258f438d4355879b99b463c4283c72a610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instruction example — air compressor preventive maintenance</dc:title>
  <dc:creator>ManualFig</dc:creator>
  <dc:description>Editable work instruction template with illustrated steps.</dc:description>
  <cp:lastModifiedBy>Un-named</cp:lastModifiedBy>
  <cp:revision>1</cp:revision>
  <dcterms:created xsi:type="dcterms:W3CDTF">2026-09-22T15:44:49.316Z</dcterms:created>
  <dcterms:modified xsi:type="dcterms:W3CDTF">2026-09-22T15:44:49.316Z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